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301" w14:textId="7572736B" w:rsidR="00FB7858" w:rsidRPr="00FB7858" w:rsidRDefault="00F372FD" w:rsidP="00656071">
      <w:pPr>
        <w:spacing w:after="0"/>
        <w:jc w:val="right"/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</w:pPr>
      <w:r w:rsidRPr="00FB7858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Załącznik do Uchwały </w:t>
      </w:r>
      <w:r w:rsidR="00FB7858" w:rsidRPr="00FB7858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Zarządu Głównego PTTK </w:t>
      </w:r>
    </w:p>
    <w:p w14:paraId="5AB3F3A7" w14:textId="26A57B33" w:rsidR="00F372FD" w:rsidRPr="00FB7858" w:rsidRDefault="00FB7858" w:rsidP="00FB7858">
      <w:pPr>
        <w:spacing w:after="0"/>
        <w:jc w:val="right"/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</w:pPr>
      <w:r w:rsidRPr="00FB7858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nr </w:t>
      </w:r>
      <w:r w:rsidR="00656071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89</w:t>
      </w:r>
      <w:r w:rsidRPr="00FB7858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/XX/202</w:t>
      </w:r>
      <w:r w:rsidR="00656071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4</w:t>
      </w:r>
      <w:r w:rsidRPr="00FB7858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 z dnia</w:t>
      </w:r>
      <w:r w:rsidR="00656071">
        <w:rPr>
          <w:rStyle w:val="Teksttreci2"/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 2 stycznia 2024 r.</w:t>
      </w:r>
    </w:p>
    <w:p w14:paraId="44974614" w14:textId="77777777" w:rsidR="00F372FD" w:rsidRPr="00FB7858" w:rsidRDefault="00F372FD" w:rsidP="00FB785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A684321" w14:textId="77777777" w:rsidR="00E91B99" w:rsidRPr="00FB7858" w:rsidRDefault="00E91B99" w:rsidP="00FB7858">
      <w:pPr>
        <w:spacing w:after="0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2"/>
          <w:rFonts w:asciiTheme="minorHAnsi" w:eastAsiaTheme="minorEastAsia" w:hAnsiTheme="minorHAnsi" w:cstheme="minorHAnsi"/>
          <w:sz w:val="24"/>
          <w:szCs w:val="24"/>
        </w:rPr>
        <w:t>Regulamin Komisji Krajoznawczej Zarządu Głównego PTTK</w:t>
      </w:r>
    </w:p>
    <w:p w14:paraId="2DC463F2" w14:textId="77777777" w:rsidR="00E91B99" w:rsidRPr="00FB7858" w:rsidRDefault="00E91B99" w:rsidP="00FB785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A05C0F" w14:textId="77777777" w:rsidR="00FB7858" w:rsidRDefault="00E91B99" w:rsidP="00FB7858">
      <w:pPr>
        <w:pStyle w:val="Nagwek1"/>
        <w:spacing w:before="0" w:line="240" w:lineRule="auto"/>
        <w:rPr>
          <w:rStyle w:val="Nagwek10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t>Rozdział I</w:t>
      </w:r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br/>
        <w:t>Postanowienia ogólne</w:t>
      </w:r>
      <w:bookmarkStart w:id="0" w:name="bookmark0"/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br/>
      </w:r>
    </w:p>
    <w:p w14:paraId="623AFC40" w14:textId="701C3168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Nagwek10"/>
          <w:rFonts w:asciiTheme="minorHAnsi" w:eastAsia="Calibri" w:hAnsiTheme="minorHAnsi" w:cstheme="minorHAnsi"/>
          <w:sz w:val="24"/>
          <w:szCs w:val="24"/>
        </w:rPr>
        <w:t>§ 1</w:t>
      </w:r>
      <w:bookmarkEnd w:id="0"/>
    </w:p>
    <w:p w14:paraId="0BEC0C14" w14:textId="7A714165" w:rsidR="00E91B99" w:rsidRPr="00FB7858" w:rsidRDefault="00643340" w:rsidP="00FB785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eastAsiaTheme="minorEastAsia" w:hAnsiTheme="minorHAnsi" w:cstheme="minorHAnsi"/>
          <w:sz w:val="24"/>
          <w:szCs w:val="24"/>
        </w:rPr>
        <w:t>R</w:t>
      </w:r>
      <w:r w:rsidR="00E91B99"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egulamin określa zakres i tryb działania oraz organizację i zasady tworzenia Komisji Krajoznawczej Zarządu Głównego PTTK (</w:t>
      </w:r>
      <w:r w:rsidR="00E91B99" w:rsidRPr="00FB7858">
        <w:rPr>
          <w:rStyle w:val="Teksttreci"/>
          <w:rFonts w:asciiTheme="minorHAnsi" w:eastAsiaTheme="minorEastAsia" w:hAnsiTheme="minorHAnsi" w:cstheme="minorHAnsi"/>
          <w:bCs/>
          <w:sz w:val="24"/>
          <w:szCs w:val="24"/>
        </w:rPr>
        <w:t xml:space="preserve">zwanej </w:t>
      </w:r>
      <w:r w:rsidR="00E91B99"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dalej Komisją).</w:t>
      </w:r>
    </w:p>
    <w:p w14:paraId="79981329" w14:textId="77777777" w:rsidR="00E91B99" w:rsidRPr="00FB7858" w:rsidRDefault="00E91B99" w:rsidP="00FB7858">
      <w:pPr>
        <w:pStyle w:val="Nagwek1"/>
        <w:spacing w:before="0" w:line="240" w:lineRule="auto"/>
        <w:rPr>
          <w:rStyle w:val="Teksttreci2"/>
          <w:rFonts w:asciiTheme="minorHAnsi" w:eastAsia="Calibri" w:hAnsiTheme="minorHAnsi" w:cstheme="minorHAnsi"/>
          <w:b/>
          <w:bCs w:val="0"/>
          <w:sz w:val="24"/>
          <w:szCs w:val="24"/>
        </w:rPr>
      </w:pPr>
    </w:p>
    <w:p w14:paraId="4E6D5DA7" w14:textId="127DAD62" w:rsidR="00FB7858" w:rsidRDefault="00E91B99" w:rsidP="00FB7858">
      <w:pPr>
        <w:pStyle w:val="Nagwek1"/>
        <w:spacing w:before="0" w:line="240" w:lineRule="auto"/>
        <w:rPr>
          <w:rStyle w:val="Nagwek12"/>
          <w:rFonts w:asciiTheme="minorHAnsi" w:eastAsia="Calibri" w:hAnsiTheme="minorHAnsi" w:cstheme="minorHAnsi"/>
        </w:rPr>
      </w:pPr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t>Rozdział II</w:t>
      </w:r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br/>
        <w:t>Zadania, tryb i zakres działania</w:t>
      </w:r>
      <w:bookmarkStart w:id="1" w:name="bookmark1"/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br/>
      </w:r>
    </w:p>
    <w:p w14:paraId="5A23F910" w14:textId="16F84B4C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Nagwek12"/>
          <w:rFonts w:asciiTheme="minorHAnsi" w:eastAsia="Calibri" w:hAnsiTheme="minorHAnsi" w:cstheme="minorHAnsi"/>
        </w:rPr>
        <w:t>§ 2</w:t>
      </w:r>
      <w:bookmarkEnd w:id="1"/>
    </w:p>
    <w:p w14:paraId="3116CDAE" w14:textId="77777777" w:rsidR="00E91B99" w:rsidRPr="00FB7858" w:rsidRDefault="00E91B99" w:rsidP="00FB7858">
      <w:pPr>
        <w:pStyle w:val="Akapitzlist"/>
        <w:widowControl w:val="0"/>
        <w:numPr>
          <w:ilvl w:val="0"/>
          <w:numId w:val="3"/>
        </w:numPr>
        <w:tabs>
          <w:tab w:val="left" w:pos="274"/>
        </w:tabs>
        <w:spacing w:after="0"/>
        <w:ind w:left="289" w:right="23" w:hanging="266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jest fachowym organem doradczym Zarządu Głównego PTTK. Do zakresu jej działania należy realizacja celów i zadań PTTK związanych z upowszechnianiem krajoznawstwa, koordynacją działalności kół i klubów krajoznawczych oraz oddziałowych i regionalnych komisji krajoznawczych, a także merytoryczny nadzór nad funkcjonowaniem regionalnych pracowni krajoznawczych.</w:t>
      </w:r>
    </w:p>
    <w:p w14:paraId="52DD5125" w14:textId="77777777" w:rsidR="00E91B99" w:rsidRPr="00FB7858" w:rsidRDefault="00E91B99" w:rsidP="00FB7858">
      <w:pPr>
        <w:pStyle w:val="Akapitzlist"/>
        <w:widowControl w:val="0"/>
        <w:numPr>
          <w:ilvl w:val="0"/>
          <w:numId w:val="3"/>
        </w:numPr>
        <w:tabs>
          <w:tab w:val="left" w:pos="274"/>
        </w:tabs>
        <w:spacing w:after="0"/>
        <w:ind w:left="289" w:right="23" w:hanging="266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może występować w imieniu Zarządu Głównego PTTK do właściwych władz po uzyskaniu upoważnienia Prezydium Zarządu Głównego PTTK.</w:t>
      </w:r>
    </w:p>
    <w:p w14:paraId="0F7ED67B" w14:textId="77777777" w:rsidR="00E91B99" w:rsidRPr="00FB7858" w:rsidRDefault="00E91B99" w:rsidP="00FB7858">
      <w:pPr>
        <w:pStyle w:val="Akapitzlist"/>
        <w:widowControl w:val="0"/>
        <w:numPr>
          <w:ilvl w:val="0"/>
          <w:numId w:val="3"/>
        </w:numPr>
        <w:tabs>
          <w:tab w:val="left" w:pos="274"/>
        </w:tabs>
        <w:spacing w:after="0"/>
        <w:ind w:left="289" w:right="23" w:hanging="266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sporządza plan pracy na okres kadencji ujmując w nim zadania do realizacji. Plan ten podlega zatwierdzeniu przez Zarząd Główny PTTK.</w:t>
      </w:r>
    </w:p>
    <w:p w14:paraId="0FF6DE97" w14:textId="77777777" w:rsidR="00E91B99" w:rsidRPr="00FB7858" w:rsidRDefault="00E91B99" w:rsidP="00FB7858">
      <w:pPr>
        <w:pStyle w:val="Akapitzlist"/>
        <w:widowControl w:val="0"/>
        <w:numPr>
          <w:ilvl w:val="0"/>
          <w:numId w:val="3"/>
        </w:numPr>
        <w:tabs>
          <w:tab w:val="left" w:pos="274"/>
        </w:tabs>
        <w:spacing w:after="0"/>
        <w:ind w:left="289" w:right="23" w:hanging="266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Komisja, nie rzadziej niż raz w roku, informuje Zarząd Główny PTTK o realizacji planu.</w:t>
      </w:r>
    </w:p>
    <w:p w14:paraId="4C6D291B" w14:textId="77777777" w:rsidR="00FB7858" w:rsidRDefault="00FB7858" w:rsidP="00FB7858">
      <w:pPr>
        <w:pStyle w:val="Nagwek1"/>
        <w:spacing w:before="0" w:line="240" w:lineRule="auto"/>
        <w:rPr>
          <w:rStyle w:val="Teksttreci"/>
          <w:rFonts w:asciiTheme="minorHAnsi" w:eastAsia="Calibri" w:hAnsiTheme="minorHAnsi" w:cstheme="minorHAnsi"/>
          <w:sz w:val="24"/>
          <w:szCs w:val="24"/>
        </w:rPr>
      </w:pPr>
    </w:p>
    <w:p w14:paraId="0CC5F949" w14:textId="54AEAE9A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Teksttreci"/>
          <w:rFonts w:asciiTheme="minorHAnsi" w:eastAsia="Calibri" w:hAnsiTheme="minorHAnsi" w:cstheme="minorHAnsi"/>
          <w:sz w:val="24"/>
          <w:szCs w:val="24"/>
        </w:rPr>
        <w:t>§ 3</w:t>
      </w:r>
    </w:p>
    <w:p w14:paraId="21F9225D" w14:textId="77777777" w:rsidR="00E91B99" w:rsidRPr="00FB7858" w:rsidRDefault="00E91B99" w:rsidP="00FB7858">
      <w:pPr>
        <w:spacing w:after="0"/>
        <w:contextualSpacing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Do zadań Komisji należy realizacja uchwał Walnego Zjazdu PTTK, Zarządu Głównego PTTK i Krajowej Konferencji Krajoznawców PTTK oraz:</w:t>
      </w:r>
    </w:p>
    <w:p w14:paraId="6DA81024" w14:textId="77777777" w:rsidR="00E91B99" w:rsidRPr="00FB7858" w:rsidRDefault="00E91B99" w:rsidP="00FB7858">
      <w:pPr>
        <w:numPr>
          <w:ilvl w:val="0"/>
          <w:numId w:val="18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inicjowanie i popularyzowanie działalności krajoznawczej w Towarzystwie i poza jego strukturami;</w:t>
      </w:r>
    </w:p>
    <w:p w14:paraId="6380246B" w14:textId="77777777" w:rsidR="00E91B99" w:rsidRPr="00FB7858" w:rsidRDefault="00E91B99" w:rsidP="00FB7858">
      <w:pPr>
        <w:numPr>
          <w:ilvl w:val="0"/>
          <w:numId w:val="18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nadawanie uprawnień Instruktora Krajoznawstwa oraz prowadzenie ich ewidencji;</w:t>
      </w:r>
    </w:p>
    <w:p w14:paraId="46021A14" w14:textId="77777777" w:rsidR="00E91B99" w:rsidRPr="00FB7858" w:rsidRDefault="00E91B99" w:rsidP="00FB7858">
      <w:pPr>
        <w:numPr>
          <w:ilvl w:val="0"/>
          <w:numId w:val="18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prowadzenie Centralnego Zespołu Weryfikacyjnego Odznaki Krajoznawczej PTTK oraz powoływanie i odwoływanie zespołów weryfikacyjnych Regionalnej Odznaki Krajoznawczej PTTK;</w:t>
      </w:r>
    </w:p>
    <w:p w14:paraId="59AF38BF" w14:textId="77777777" w:rsidR="00E91B99" w:rsidRPr="00FB7858" w:rsidRDefault="00E91B99" w:rsidP="00FB7858">
      <w:pPr>
        <w:numPr>
          <w:ilvl w:val="0"/>
          <w:numId w:val="18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popularyzacja zdobywania odznak krajoznawczych, w szczególności Regionalnej Odznaki Krajoznawczej PTTK i Odznaki Krajoznawczej Polski;</w:t>
      </w:r>
    </w:p>
    <w:p w14:paraId="3220DC2B" w14:textId="77777777" w:rsidR="00E91B99" w:rsidRPr="00FB7858" w:rsidRDefault="00E91B99" w:rsidP="00FB7858">
      <w:pPr>
        <w:numPr>
          <w:ilvl w:val="0"/>
          <w:numId w:val="18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współpraca:</w:t>
      </w:r>
    </w:p>
    <w:p w14:paraId="31AB1CDD" w14:textId="77777777" w:rsidR="00E91B99" w:rsidRPr="00FB7858" w:rsidRDefault="00E91B99" w:rsidP="00FB7858">
      <w:pPr>
        <w:spacing w:after="0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a) z regionalnymi pracowniami krajoznawczymi i nadzór merytoryczny nad ich działalnością,</w:t>
      </w:r>
    </w:p>
    <w:p w14:paraId="0C7F0974" w14:textId="77777777" w:rsidR="00E91B99" w:rsidRPr="00FB7858" w:rsidRDefault="00E91B99" w:rsidP="00FB7858">
      <w:pPr>
        <w:spacing w:after="0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b) z oddziałowymi i regionalnymi komisjami krajoznawczymi, klubami krajoznawczymi i regionalnymi kolegiami instruktorów krajoznawstwa,</w:t>
      </w:r>
    </w:p>
    <w:p w14:paraId="009A5F57" w14:textId="77777777" w:rsidR="00E91B99" w:rsidRPr="00FB7858" w:rsidRDefault="00E91B99" w:rsidP="00FB7858">
      <w:pPr>
        <w:spacing w:after="0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c) z ogniwami PTTK powołanymi do promocji działań krajoznawczych,</w:t>
      </w:r>
    </w:p>
    <w:p w14:paraId="3D4848EC" w14:textId="77777777" w:rsidR="00E91B99" w:rsidRPr="00FB7858" w:rsidRDefault="00E91B99" w:rsidP="00FB7858">
      <w:pPr>
        <w:spacing w:after="0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d) z komisjami i radami Zarządu Głównego PTTK;</w:t>
      </w:r>
    </w:p>
    <w:p w14:paraId="1922680B" w14:textId="77777777" w:rsidR="00E91B99" w:rsidRPr="00FB7858" w:rsidRDefault="00E91B99" w:rsidP="00FB7858">
      <w:pPr>
        <w:pStyle w:val="Akapitzlist"/>
        <w:numPr>
          <w:ilvl w:val="0"/>
          <w:numId w:val="18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inspirowanie i koordynacja:</w:t>
      </w:r>
    </w:p>
    <w:p w14:paraId="57FE38EC" w14:textId="77777777" w:rsidR="00E91B99" w:rsidRPr="00FB7858" w:rsidRDefault="00E91B99" w:rsidP="00FB7858">
      <w:pPr>
        <w:spacing w:after="0"/>
        <w:ind w:left="1066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a) inwentaryzacji krajoznawczej Polski,</w:t>
      </w:r>
    </w:p>
    <w:p w14:paraId="4EDAA826" w14:textId="7292E6EF" w:rsidR="00E91B99" w:rsidRPr="00F44434" w:rsidRDefault="00E91B99" w:rsidP="00FB7858">
      <w:pPr>
        <w:spacing w:after="0"/>
        <w:ind w:left="1066" w:hanging="357"/>
        <w:contextualSpacing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lastRenderedPageBreak/>
        <w:t xml:space="preserve">b) wydawnictw krajoznawczych, w tym 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opracowywanie i wydawanie własnych materiałów szkoleniowych, informacyjnych i popularyzatorskich</w:t>
      </w:r>
      <w:r w:rsidR="00F44434">
        <w:rPr>
          <w:rStyle w:val="Teksttreci"/>
          <w:rFonts w:asciiTheme="minorHAnsi" w:eastAsiaTheme="minorEastAsia" w:hAnsiTheme="minorHAnsi" w:cstheme="minorHAnsi"/>
          <w:b/>
          <w:bCs/>
          <w:color w:val="FF0000"/>
          <w:sz w:val="24"/>
          <w:szCs w:val="24"/>
        </w:rPr>
        <w:t>,</w:t>
      </w:r>
    </w:p>
    <w:p w14:paraId="3571A1A8" w14:textId="77777777" w:rsidR="00E91B99" w:rsidRPr="00FB7858" w:rsidRDefault="00E91B99" w:rsidP="00FB7858">
      <w:pPr>
        <w:spacing w:after="0"/>
        <w:ind w:left="1066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c) centralnych imprez krajoznawczych,</w:t>
      </w:r>
    </w:p>
    <w:p w14:paraId="63537A6D" w14:textId="77777777" w:rsidR="00E91B99" w:rsidRPr="00FB7858" w:rsidRDefault="00E91B99" w:rsidP="00FB7858">
      <w:pPr>
        <w:spacing w:after="0"/>
        <w:ind w:left="1066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 xml:space="preserve">d) 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różnych form szkolenia kadry programowej, w tym </w:t>
      </w:r>
      <w:r w:rsidRPr="00FB7858">
        <w:rPr>
          <w:rFonts w:asciiTheme="minorHAnsi" w:hAnsiTheme="minorHAnsi" w:cstheme="minorHAnsi"/>
          <w:sz w:val="24"/>
          <w:szCs w:val="24"/>
        </w:rPr>
        <w:t>szkoleń instruktorów krajoznawstwa i kierowników regionalnych pracowni krajoznawczych,</w:t>
      </w:r>
    </w:p>
    <w:p w14:paraId="148CA3FB" w14:textId="77777777" w:rsidR="00E91B99" w:rsidRPr="00FB7858" w:rsidRDefault="00E91B99" w:rsidP="00FB7858">
      <w:pPr>
        <w:spacing w:after="0"/>
        <w:ind w:left="1066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 xml:space="preserve">e) upowszechniania zdobywania i tworzenia nowych odznak krajoznawczych, </w:t>
      </w:r>
    </w:p>
    <w:p w14:paraId="727B9BBD" w14:textId="77777777" w:rsidR="00E91B99" w:rsidRPr="00FB7858" w:rsidRDefault="00E91B99" w:rsidP="00FB7858">
      <w:pPr>
        <w:spacing w:after="0"/>
        <w:ind w:left="1066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f) działań z zakresu kolekcjonerstwa krajoznawczego;</w:t>
      </w:r>
    </w:p>
    <w:p w14:paraId="0B128D69" w14:textId="77777777" w:rsidR="00E91B99" w:rsidRPr="00FB7858" w:rsidRDefault="00E91B99" w:rsidP="00FB7858">
      <w:pPr>
        <w:numPr>
          <w:ilvl w:val="0"/>
          <w:numId w:val="20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 xml:space="preserve">organizowanie seminariów, sympozjów, konferencji i konkursów krajoznawczych; </w:t>
      </w:r>
    </w:p>
    <w:p w14:paraId="61C7B069" w14:textId="77777777" w:rsidR="00E91B99" w:rsidRPr="00FB7858" w:rsidRDefault="00E91B99" w:rsidP="00FB7858">
      <w:pPr>
        <w:numPr>
          <w:ilvl w:val="0"/>
          <w:numId w:val="20"/>
        </w:numPr>
        <w:spacing w:after="0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inspirowanie i prowadzenie badań i studiów krajoznawczych;</w:t>
      </w:r>
    </w:p>
    <w:p w14:paraId="44C79FFC" w14:textId="77777777" w:rsidR="00E91B99" w:rsidRPr="00FB7858" w:rsidRDefault="00E91B99" w:rsidP="00FB7858">
      <w:pPr>
        <w:pStyle w:val="Akapitzlist"/>
        <w:numPr>
          <w:ilvl w:val="0"/>
          <w:numId w:val="20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utrzymywanie więzi organizacyjnych i programowych z kadrą krajoznawczą;</w:t>
      </w:r>
    </w:p>
    <w:p w14:paraId="39515958" w14:textId="77777777" w:rsidR="00E91B99" w:rsidRPr="00FB7858" w:rsidRDefault="00E91B99" w:rsidP="00FB7858">
      <w:pPr>
        <w:pStyle w:val="Akapitzlist"/>
        <w:numPr>
          <w:ilvl w:val="0"/>
          <w:numId w:val="20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wykonywanie innych zadań wynikających ze specyfiki działań Komisji.</w:t>
      </w:r>
    </w:p>
    <w:p w14:paraId="00DD53CC" w14:textId="77777777" w:rsidR="00E91B99" w:rsidRPr="00FB7858" w:rsidRDefault="00E91B99" w:rsidP="00FB7858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45E46FE2" w14:textId="77777777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4</w:t>
      </w:r>
    </w:p>
    <w:p w14:paraId="67A50279" w14:textId="0E90E104" w:rsidR="00E91B99" w:rsidRPr="00FB7858" w:rsidRDefault="00FB7858" w:rsidP="00FB7858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eastAsiaTheme="minorEastAsia" w:hAnsiTheme="minorHAnsi" w:cstheme="minorHAnsi"/>
          <w:sz w:val="24"/>
          <w:szCs w:val="24"/>
          <w:lang w:val="fi-FI"/>
        </w:rPr>
        <w:t>Komisja</w:t>
      </w:r>
      <w:r w:rsidR="00E91B99" w:rsidRPr="00FB7858">
        <w:rPr>
          <w:rFonts w:asciiTheme="minorHAnsi" w:hAnsiTheme="minorHAnsi" w:cstheme="minorHAnsi"/>
          <w:sz w:val="24"/>
          <w:szCs w:val="24"/>
        </w:rPr>
        <w:t xml:space="preserve">, doceniając zaangażowanie krajoznawczej kadry programowej, może przyznawać następujące wyróżnienia za osiągnięcia w zakresie </w:t>
      </w:r>
      <w:r w:rsidR="00E91B99"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krajoznawstwa</w:t>
      </w:r>
      <w:r w:rsidR="00E91B99" w:rsidRPr="00FB7858">
        <w:rPr>
          <w:rFonts w:asciiTheme="minorHAnsi" w:hAnsiTheme="minorHAnsi" w:cstheme="minorHAnsi"/>
          <w:sz w:val="24"/>
          <w:szCs w:val="24"/>
        </w:rPr>
        <w:t>:</w:t>
      </w:r>
    </w:p>
    <w:p w14:paraId="405CCB4D" w14:textId="77777777" w:rsidR="00E91B99" w:rsidRPr="00FB7858" w:rsidRDefault="00E91B99" w:rsidP="00FB7858">
      <w:pPr>
        <w:pStyle w:val="Akapitzlist"/>
        <w:numPr>
          <w:ilvl w:val="1"/>
          <w:numId w:val="5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tytuł Zasłużonego Instruktora Krajoznawstwa,</w:t>
      </w:r>
    </w:p>
    <w:p w14:paraId="42F01FAA" w14:textId="77777777" w:rsidR="00E91B99" w:rsidRPr="00FB7858" w:rsidRDefault="00E91B99" w:rsidP="00FB7858">
      <w:pPr>
        <w:pStyle w:val="Akapitzlist"/>
        <w:numPr>
          <w:ilvl w:val="1"/>
          <w:numId w:val="5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Dyplom Komisji Krajoznawczej ZG PTTK.</w:t>
      </w:r>
    </w:p>
    <w:p w14:paraId="10FB9CAB" w14:textId="77777777" w:rsidR="00E91B99" w:rsidRPr="00FB7858" w:rsidRDefault="00E91B99" w:rsidP="00FB7858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Kr</w:t>
      </w:r>
      <w:r w:rsidRPr="00FB7858">
        <w:rPr>
          <w:rFonts w:asciiTheme="minorHAnsi" w:hAnsiTheme="minorHAnsi" w:cstheme="minorHAnsi"/>
          <w:sz w:val="24"/>
          <w:szCs w:val="24"/>
        </w:rPr>
        <w:t>yteria i zasady przyznawania wyróżnień, o których mowa w ust. 1 Komisja określa odpowiednimi uchwałami.</w:t>
      </w:r>
    </w:p>
    <w:p w14:paraId="1FB612C8" w14:textId="77777777" w:rsidR="00E91B99" w:rsidRPr="00FB7858" w:rsidRDefault="00E91B99" w:rsidP="00FB7858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Komisja opiniuje wnioski o nadanie Odznaki Honorowej PTTK im. Aleksandra Janowskiego „Za zasługi dla krajoznawstwa”.</w:t>
      </w:r>
    </w:p>
    <w:p w14:paraId="26FB4126" w14:textId="77777777" w:rsidR="00E91B99" w:rsidRPr="00FB7858" w:rsidRDefault="00E91B99" w:rsidP="00FB7858">
      <w:pPr>
        <w:pStyle w:val="Akapitzlist"/>
        <w:numPr>
          <w:ilvl w:val="0"/>
          <w:numId w:val="0"/>
        </w:numPr>
        <w:spacing w:after="0"/>
        <w:ind w:left="380"/>
        <w:rPr>
          <w:rFonts w:asciiTheme="minorHAnsi" w:hAnsiTheme="minorHAnsi" w:cstheme="minorHAnsi"/>
          <w:sz w:val="24"/>
          <w:szCs w:val="24"/>
        </w:rPr>
      </w:pPr>
    </w:p>
    <w:p w14:paraId="0FFF1504" w14:textId="77777777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5</w:t>
      </w:r>
    </w:p>
    <w:p w14:paraId="47D5F57F" w14:textId="77777777" w:rsidR="00E91B99" w:rsidRPr="00FB7858" w:rsidRDefault="00E91B99" w:rsidP="00FB7858">
      <w:pPr>
        <w:pStyle w:val="Akapitzlist"/>
        <w:numPr>
          <w:ilvl w:val="0"/>
          <w:numId w:val="4"/>
        </w:numPr>
        <w:spacing w:after="0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może realizować swoje zadania we współpracy z innymi organami fachowymi i jednostkami PTTK, których przedstawiciele, w zależności od potrzeb, mogą uczestniczyć w jej posiedzeniach z głosem doradczym.</w:t>
      </w:r>
    </w:p>
    <w:p w14:paraId="7637E811" w14:textId="77777777" w:rsidR="00E91B99" w:rsidRPr="00FB7858" w:rsidRDefault="00E91B99" w:rsidP="00FB7858">
      <w:pPr>
        <w:pStyle w:val="Akapitzlist"/>
        <w:numPr>
          <w:ilvl w:val="0"/>
          <w:numId w:val="4"/>
        </w:numPr>
        <w:spacing w:after="0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W przypadku gdy działalność Komisji wchodzi w zakres działania innego organu fachowego Zarządu Głównego PTTK, działania te powinny być uzgodnione między nimi. Przypadki sporne rozstrzyga Zarząd Główny PTTK.</w:t>
      </w:r>
    </w:p>
    <w:p w14:paraId="59CED9B2" w14:textId="77777777" w:rsidR="00E91B99" w:rsidRPr="00FB7858" w:rsidRDefault="00E91B99" w:rsidP="00FB7858">
      <w:pPr>
        <w:pStyle w:val="Nagwek1"/>
        <w:spacing w:before="0" w:line="240" w:lineRule="auto"/>
        <w:rPr>
          <w:rStyle w:val="Teksttreci2"/>
          <w:rFonts w:asciiTheme="minorHAnsi" w:eastAsia="Calibri" w:hAnsiTheme="minorHAnsi" w:cstheme="minorHAnsi"/>
          <w:b/>
          <w:bCs w:val="0"/>
          <w:sz w:val="24"/>
          <w:szCs w:val="24"/>
        </w:rPr>
      </w:pPr>
    </w:p>
    <w:p w14:paraId="6CCBBACA" w14:textId="77777777" w:rsidR="00FB7858" w:rsidRDefault="00E91B99" w:rsidP="00FB7858">
      <w:pPr>
        <w:pStyle w:val="Nagwek1"/>
        <w:spacing w:before="0" w:line="240" w:lineRule="auto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t>Rozdział III</w:t>
      </w:r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br/>
        <w:t>Zasady tworzenia</w:t>
      </w:r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br/>
      </w:r>
    </w:p>
    <w:p w14:paraId="6F8275E0" w14:textId="2823499C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Teksttreci"/>
          <w:rFonts w:asciiTheme="minorHAnsi" w:eastAsia="Calibri" w:hAnsiTheme="minorHAnsi" w:cstheme="minorHAnsi"/>
          <w:sz w:val="24"/>
          <w:szCs w:val="24"/>
        </w:rPr>
        <w:t>§ 6</w:t>
      </w:r>
    </w:p>
    <w:p w14:paraId="7AF10802" w14:textId="5B6A4431" w:rsidR="00E91B99" w:rsidRPr="00FB7858" w:rsidRDefault="00E91B99" w:rsidP="00FB7858">
      <w:pPr>
        <w:pStyle w:val="Akapitzlist"/>
        <w:numPr>
          <w:ilvl w:val="0"/>
          <w:numId w:val="6"/>
        </w:numPr>
        <w:spacing w:after="0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Komisja wybierana jest w głosowaniu tajnym podczas Krajowej Konferencji Krajoznawców PTTK </w:t>
      </w: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(</w:t>
      </w:r>
      <w:r w:rsidR="00F44434"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zwanej </w:t>
      </w: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dalej Konferencj</w:t>
      </w:r>
      <w:r w:rsidR="00F44434"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ą</w:t>
      </w: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)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, w liczbie od 5 do 9 członków. Komisja wybierana jest na okres kadencji Zarządu Głównego PTTK i obejmuje czas między Konferencjami. Do wyborów Komisji mają zastosowanie zasady określone w Ordynacji Wyborczej PTTK.</w:t>
      </w:r>
    </w:p>
    <w:p w14:paraId="0BCD3BD3" w14:textId="77777777" w:rsidR="00E91B99" w:rsidRPr="00FB7858" w:rsidRDefault="00E91B99" w:rsidP="00FB7858">
      <w:pPr>
        <w:pStyle w:val="Akapitzlist"/>
        <w:numPr>
          <w:ilvl w:val="0"/>
          <w:numId w:val="6"/>
        </w:numPr>
        <w:spacing w:after="0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zwołuje Konferencję w ciągu 3 miesięcy po Walnym Zjeździe PTTK, przy czym zawiadomienia wysyłane są co najmniej na miesiąc przed terminem Konferencji, która powinna odbyć się nie później niż w ciągu 6 miesięcy po Walnym Zjeździe PTTK.</w:t>
      </w:r>
    </w:p>
    <w:p w14:paraId="5B7CD44F" w14:textId="16C6EC29" w:rsidR="00E91B99" w:rsidRPr="00FB7858" w:rsidRDefault="00E91B99" w:rsidP="00FB7858">
      <w:pPr>
        <w:pStyle w:val="Akapitzlist"/>
        <w:numPr>
          <w:ilvl w:val="0"/>
          <w:numId w:val="6"/>
        </w:numPr>
        <w:spacing w:after="0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W Konferencji uczestniczą z głosem decydującym delegaci wybrani w liczbie i na zasadach określonych w regulaminie Konferencji, uchwalonym przez Komisję </w:t>
      </w:r>
      <w:r w:rsidR="00F44434">
        <w:rPr>
          <w:rStyle w:val="Teksttreci"/>
          <w:rFonts w:asciiTheme="minorHAnsi" w:eastAsiaTheme="minorEastAsia" w:hAnsiTheme="minorHAnsi" w:cstheme="minorHAnsi"/>
          <w:sz w:val="24"/>
          <w:szCs w:val="24"/>
        </w:rPr>
        <w:br/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i zatwierdzonym przez Zarząd Główny PTTK. Z głosem doradczym w Konferencji uczestniczą członkowie ustępującej Komisji, przedstawiciele jednostek regionalnych PTTK, przedstawiciele władz naczelnych PTTK i zaproszeni goście.</w:t>
      </w:r>
    </w:p>
    <w:p w14:paraId="5EE9BF8D" w14:textId="77777777" w:rsidR="00E91B99" w:rsidRPr="00FB7858" w:rsidRDefault="00E91B99" w:rsidP="00FB7858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lastRenderedPageBreak/>
        <w:t>Skład Komisji oraz zmiany w nim następujące w trakcie trwania kadencji podlegają zatwierdzeniu przez Zarząd Główny PTTK.</w:t>
      </w:r>
    </w:p>
    <w:p w14:paraId="7C9A92B0" w14:textId="77777777" w:rsidR="00FB7858" w:rsidRDefault="00FB7858" w:rsidP="00FB7858">
      <w:pPr>
        <w:pStyle w:val="Nagwek1"/>
        <w:spacing w:before="0" w:line="240" w:lineRule="auto"/>
        <w:rPr>
          <w:rStyle w:val="Nagwek13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  <w:bookmarkStart w:id="2" w:name="bookmark2"/>
    </w:p>
    <w:p w14:paraId="486670CB" w14:textId="5EC9BE68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Nagwek13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7</w:t>
      </w:r>
      <w:bookmarkEnd w:id="2"/>
    </w:p>
    <w:p w14:paraId="1D01FD28" w14:textId="77777777" w:rsidR="00E91B99" w:rsidRPr="00FB7858" w:rsidRDefault="00E91B99" w:rsidP="00FB7858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Konferencja dokonuje oceny działalności Komisji oraz ustala wytyczne dla jej działalności w </w:t>
      </w:r>
      <w:r w:rsidRPr="00FB7858">
        <w:rPr>
          <w:rStyle w:val="Teksttreci"/>
          <w:rFonts w:asciiTheme="minorHAnsi" w:eastAsiaTheme="minorEastAsia" w:hAnsiTheme="minorHAnsi" w:cstheme="minorHAnsi"/>
          <w:bCs/>
          <w:sz w:val="24"/>
          <w:szCs w:val="24"/>
        </w:rPr>
        <w:t xml:space="preserve">nowej 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kadencji.</w:t>
      </w:r>
    </w:p>
    <w:p w14:paraId="7059A019" w14:textId="77777777" w:rsidR="00E91B99" w:rsidRPr="00FB7858" w:rsidRDefault="00E91B99" w:rsidP="00FB7858">
      <w:pPr>
        <w:pStyle w:val="Akapitzlist"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Uchwały Konferencji zapadają zwykłą większością głosów przy obecności co najmniej połowy zgłoszonych delegatów.</w:t>
      </w:r>
    </w:p>
    <w:p w14:paraId="395FE49B" w14:textId="77777777" w:rsidR="00E91B99" w:rsidRPr="00FB7858" w:rsidRDefault="00E91B99" w:rsidP="00FB7858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Uchwały Konferencji podawane są do wiadomości Zarządu Głównego PTTK.</w:t>
      </w:r>
    </w:p>
    <w:p w14:paraId="334AC771" w14:textId="77777777" w:rsidR="00FB7858" w:rsidRDefault="00FB7858" w:rsidP="00FB7858">
      <w:pPr>
        <w:pStyle w:val="Nagwek1"/>
        <w:spacing w:before="0" w:line="240" w:lineRule="auto"/>
        <w:rPr>
          <w:rStyle w:val="Teksttreci"/>
          <w:rFonts w:asciiTheme="minorHAnsi" w:eastAsia="Calibri" w:hAnsiTheme="minorHAnsi" w:cstheme="minorHAnsi"/>
          <w:sz w:val="24"/>
          <w:szCs w:val="24"/>
        </w:rPr>
      </w:pPr>
    </w:p>
    <w:p w14:paraId="2ED1DC29" w14:textId="50FA7441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Teksttreci"/>
          <w:rFonts w:asciiTheme="minorHAnsi" w:eastAsia="Calibri" w:hAnsiTheme="minorHAnsi" w:cstheme="minorHAnsi"/>
          <w:sz w:val="24"/>
          <w:szCs w:val="24"/>
        </w:rPr>
        <w:t>§ 8</w:t>
      </w:r>
    </w:p>
    <w:p w14:paraId="43F7E02B" w14:textId="77777777" w:rsidR="00E91B99" w:rsidRPr="00FB7858" w:rsidRDefault="00E91B99" w:rsidP="00FB7858">
      <w:pPr>
        <w:pStyle w:val="Akapitzlist"/>
        <w:numPr>
          <w:ilvl w:val="0"/>
          <w:numId w:val="16"/>
        </w:numPr>
        <w:spacing w:after="0"/>
        <w:ind w:left="357" w:hanging="357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Oprócz Konferencji, Komisja może organizować roczne lub okresowe narady.</w:t>
      </w:r>
    </w:p>
    <w:p w14:paraId="175FB235" w14:textId="77777777" w:rsidR="00E91B99" w:rsidRPr="00FB7858" w:rsidRDefault="00E91B99" w:rsidP="00FB7858">
      <w:pPr>
        <w:pStyle w:val="Akapitzlist"/>
        <w:numPr>
          <w:ilvl w:val="0"/>
          <w:numId w:val="16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Komisja współorganizuje także Centralne Zloty Krajoznawców, w tym forum instruktorów krajoznawstwa, które są formą działalności Komisji, oraz współuczestniczy w centralnych spotkaniach regionalnych pracowni krajoznawczych.</w:t>
      </w:r>
    </w:p>
    <w:p w14:paraId="4D4453E6" w14:textId="77777777" w:rsidR="00E91B99" w:rsidRPr="00FB7858" w:rsidRDefault="00E91B99" w:rsidP="00FB7858">
      <w:pPr>
        <w:pStyle w:val="Nagwek1"/>
        <w:spacing w:before="0" w:line="240" w:lineRule="auto"/>
        <w:rPr>
          <w:rStyle w:val="Teksttreci2"/>
          <w:rFonts w:asciiTheme="minorHAnsi" w:eastAsia="Calibri" w:hAnsiTheme="minorHAnsi" w:cstheme="minorHAnsi"/>
          <w:b/>
          <w:bCs w:val="0"/>
          <w:sz w:val="24"/>
          <w:szCs w:val="24"/>
        </w:rPr>
      </w:pPr>
    </w:p>
    <w:p w14:paraId="193DD290" w14:textId="77777777" w:rsidR="00FB7858" w:rsidRPr="0007773E" w:rsidRDefault="00E91B99" w:rsidP="00FB7858">
      <w:pPr>
        <w:pStyle w:val="Nagwek1"/>
        <w:spacing w:before="0" w:line="240" w:lineRule="auto"/>
        <w:rPr>
          <w:rStyle w:val="Nagwek14"/>
          <w:rFonts w:asciiTheme="minorHAnsi" w:eastAsia="Calibri" w:hAnsiTheme="minorHAnsi" w:cstheme="minorHAnsi"/>
          <w:b w:val="0"/>
          <w:bCs/>
          <w:color w:val="auto"/>
          <w:lang w:val="fi-FI"/>
        </w:rPr>
      </w:pPr>
      <w:r w:rsidRPr="0007773E">
        <w:rPr>
          <w:rStyle w:val="Teksttreci2"/>
          <w:rFonts w:asciiTheme="minorHAnsi" w:eastAsia="Calibri" w:hAnsiTheme="minorHAnsi" w:cstheme="minorHAnsi"/>
          <w:b/>
          <w:bCs w:val="0"/>
          <w:sz w:val="24"/>
          <w:szCs w:val="24"/>
        </w:rPr>
        <w:t>Rozdział IV</w:t>
      </w:r>
      <w:r w:rsidRPr="0007773E">
        <w:rPr>
          <w:rStyle w:val="Teksttreci2"/>
          <w:rFonts w:asciiTheme="minorHAnsi" w:eastAsia="Calibri" w:hAnsiTheme="minorHAnsi" w:cstheme="minorHAnsi"/>
          <w:b/>
          <w:bCs w:val="0"/>
          <w:sz w:val="24"/>
          <w:szCs w:val="24"/>
        </w:rPr>
        <w:br/>
        <w:t>Organizacja i tryb pracy komisji</w:t>
      </w:r>
      <w:r w:rsidRPr="0007773E">
        <w:rPr>
          <w:rStyle w:val="Teksttreci2"/>
          <w:rFonts w:asciiTheme="minorHAnsi" w:eastAsia="Calibri" w:hAnsiTheme="minorHAnsi" w:cstheme="minorHAnsi"/>
          <w:b/>
          <w:bCs w:val="0"/>
          <w:sz w:val="24"/>
          <w:szCs w:val="24"/>
        </w:rPr>
        <w:br/>
      </w:r>
      <w:bookmarkStart w:id="3" w:name="bookmark3"/>
    </w:p>
    <w:p w14:paraId="515384AE" w14:textId="7B7D83FF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Nagwek14"/>
          <w:rFonts w:asciiTheme="minorHAnsi" w:eastAsia="Calibri" w:hAnsiTheme="minorHAnsi" w:cstheme="minorHAnsi"/>
          <w:color w:val="auto"/>
          <w:lang w:val="fi-FI"/>
        </w:rPr>
        <w:t>§ 9</w:t>
      </w:r>
      <w:bookmarkEnd w:id="3"/>
    </w:p>
    <w:p w14:paraId="0C15F728" w14:textId="321E0D90" w:rsidR="00E91B99" w:rsidRPr="00FB7858" w:rsidRDefault="00FB7858" w:rsidP="00FB7858">
      <w:pPr>
        <w:pStyle w:val="Akapitzlist"/>
        <w:numPr>
          <w:ilvl w:val="0"/>
          <w:numId w:val="8"/>
        </w:numPr>
        <w:spacing w:after="0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>
        <w:rPr>
          <w:rStyle w:val="Teksttreci"/>
          <w:rFonts w:asciiTheme="minorHAnsi" w:eastAsiaTheme="minorEastAsia" w:hAnsiTheme="minorHAnsi" w:cstheme="minorHAnsi"/>
          <w:sz w:val="24"/>
          <w:szCs w:val="24"/>
          <w:lang w:val="fi-FI"/>
        </w:rPr>
        <w:t>Komisja</w:t>
      </w:r>
      <w:r w:rsidR="00E91B99"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 wybiera ze swego grona w głosowaniu tajnym przewodniczącego, wiceprzewodniczącego lub wiceprzewodniczących i sekretarza.</w:t>
      </w:r>
    </w:p>
    <w:p w14:paraId="41B77B3E" w14:textId="77777777" w:rsidR="00E91B99" w:rsidRPr="00FB7858" w:rsidRDefault="00E91B99" w:rsidP="00FB7858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Komisja </w:t>
      </w:r>
      <w:r w:rsidRPr="00FB7858">
        <w:rPr>
          <w:rFonts w:asciiTheme="minorHAnsi" w:hAnsiTheme="minorHAnsi" w:cstheme="minorHAnsi"/>
          <w:sz w:val="24"/>
          <w:szCs w:val="24"/>
        </w:rPr>
        <w:t xml:space="preserve">może wnioskować do Zarządu Głównego PTTK o zawieszenie lub odwołanie członka 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Komisji </w:t>
      </w:r>
      <w:r w:rsidRPr="00FB7858">
        <w:rPr>
          <w:rFonts w:asciiTheme="minorHAnsi" w:hAnsiTheme="minorHAnsi" w:cstheme="minorHAnsi"/>
          <w:sz w:val="24"/>
          <w:szCs w:val="24"/>
        </w:rPr>
        <w:t>w związku z nieuczestniczeniem w jej pracach.</w:t>
      </w:r>
    </w:p>
    <w:p w14:paraId="36FFDED4" w14:textId="77777777" w:rsidR="00E91B99" w:rsidRPr="00FB7858" w:rsidRDefault="00E91B99" w:rsidP="00FB7858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ma prawo dokooptować w głosowaniu tajnym nowych członków na zwolnione w okresie kadencji miejsca w liczbie nieprzekraczającej 1/3 składu pochodzącego z wyboru.</w:t>
      </w:r>
    </w:p>
    <w:p w14:paraId="4FA98E5F" w14:textId="77777777" w:rsidR="00FB7858" w:rsidRDefault="00FB7858" w:rsidP="00FB7858">
      <w:pPr>
        <w:pStyle w:val="Nagwek1"/>
        <w:spacing w:before="0" w:line="240" w:lineRule="auto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bookmarkStart w:id="4" w:name="bookmark4"/>
    </w:p>
    <w:p w14:paraId="111434AC" w14:textId="45FB2AE6" w:rsidR="00E91B99" w:rsidRPr="00FB7858" w:rsidRDefault="00E91B99" w:rsidP="00FB7858">
      <w:pPr>
        <w:pStyle w:val="Nagwek1"/>
        <w:spacing w:before="0" w:line="240" w:lineRule="auto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="Calibri" w:hAnsiTheme="minorHAnsi" w:cstheme="minorHAnsi"/>
          <w:sz w:val="24"/>
          <w:szCs w:val="24"/>
        </w:rPr>
        <w:t>§ 10</w:t>
      </w:r>
      <w:bookmarkEnd w:id="4"/>
    </w:p>
    <w:p w14:paraId="4F35732A" w14:textId="77777777" w:rsidR="00E91B99" w:rsidRPr="00FB7858" w:rsidRDefault="00E91B99" w:rsidP="00FB78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działa bezpośrednio lub przez powołane przez siebie podkomisje lub zespoły robocze, których członkami mogą być także osoby spoza Komisji.</w:t>
      </w:r>
    </w:p>
    <w:p w14:paraId="28B82180" w14:textId="77777777" w:rsidR="00FB7858" w:rsidRDefault="00FB7858" w:rsidP="00FB7858">
      <w:pPr>
        <w:pStyle w:val="Nagwek1"/>
        <w:spacing w:before="0" w:line="240" w:lineRule="auto"/>
        <w:rPr>
          <w:rStyle w:val="Nagwek22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  <w:bookmarkStart w:id="5" w:name="bookmark5"/>
    </w:p>
    <w:p w14:paraId="508FF370" w14:textId="36C7C407" w:rsidR="00E91B99" w:rsidRPr="00FB7858" w:rsidRDefault="00E91B99" w:rsidP="00FB7858">
      <w:pPr>
        <w:pStyle w:val="Nagwek1"/>
        <w:spacing w:before="0" w:line="240" w:lineRule="auto"/>
        <w:rPr>
          <w:rStyle w:val="Nagwek22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  <w:r w:rsidRPr="00FB7858">
        <w:rPr>
          <w:rStyle w:val="Nagwek22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11</w:t>
      </w:r>
      <w:bookmarkEnd w:id="5"/>
    </w:p>
    <w:p w14:paraId="3D7B0015" w14:textId="77777777" w:rsidR="00E91B99" w:rsidRPr="00FB7858" w:rsidRDefault="00E91B99" w:rsidP="00FB7858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Posiedzenia Komisji zwoływane są przez jej przewodniczącego lub działającego w jego zastępstwie wiceprzewodniczącego, w miarę potrzeb wynikających z zadań Komisji i specyfiki działania, nie rzadziej jednak niż dwa razy w roku. O terminie i porządku obrad zebrania należy powiadomić Zarząd Główny PTTK oraz opiekunów Komisji z ramienia władz naczelnych PTTK, o ile tacy zostaną wyznaczeni, którzy w miarę możliwości uczestniczą w posiedzeniach Komisji.</w:t>
      </w:r>
    </w:p>
    <w:p w14:paraId="32BEEACA" w14:textId="77777777" w:rsidR="00E91B99" w:rsidRPr="00FB7858" w:rsidRDefault="00E91B99" w:rsidP="00FB7858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Prawo zwoływania posiedzeń Komisji przysługuje także Zarządowi Głównemu PTTK.</w:t>
      </w:r>
    </w:p>
    <w:p w14:paraId="614213F5" w14:textId="77777777" w:rsidR="00E91B99" w:rsidRPr="00FB7858" w:rsidRDefault="00E91B99" w:rsidP="00FB7858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Uchwały Komisji i jej zespołów zapadają zwykłą większością głosów przy obecności co najmniej połowy członków. Uchwały Komisji są przekazywane Zarządowi Głównemu PTTK.</w:t>
      </w:r>
    </w:p>
    <w:p w14:paraId="3F049045" w14:textId="77777777" w:rsidR="00E91B99" w:rsidRPr="00FB7858" w:rsidRDefault="00E91B99" w:rsidP="00FB7858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Posiedzenia Komisji są protokołowane, zaś dokumentacja jej działalności przechowywana jest w Biurze Zarządu Głównego PTTK.</w:t>
      </w:r>
    </w:p>
    <w:p w14:paraId="2D1F80FB" w14:textId="77777777" w:rsidR="00E91B99" w:rsidRPr="00FB7858" w:rsidRDefault="00E91B99" w:rsidP="00FB7858">
      <w:pPr>
        <w:pStyle w:val="Akapitzlist"/>
        <w:numPr>
          <w:ilvl w:val="0"/>
          <w:numId w:val="9"/>
        </w:numPr>
        <w:spacing w:after="0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Obsługę biurowo-administracyjną Komisji zapewnia Biuro Zarządu Głównego PTTK.</w:t>
      </w:r>
    </w:p>
    <w:p w14:paraId="2CA3F5D3" w14:textId="77777777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bookmarkStart w:id="6" w:name="bookmark6"/>
      <w:r w:rsidRPr="00FB7858">
        <w:rPr>
          <w:rStyle w:val="Nagwek23"/>
          <w:rFonts w:asciiTheme="minorHAnsi" w:eastAsia="Calibri" w:hAnsiTheme="minorHAnsi" w:cstheme="minorHAnsi"/>
          <w:color w:val="auto"/>
          <w:sz w:val="24"/>
          <w:szCs w:val="24"/>
          <w:lang w:val="fi-FI"/>
        </w:rPr>
        <w:lastRenderedPageBreak/>
        <w:t>§ 12</w:t>
      </w:r>
      <w:bookmarkEnd w:id="6"/>
    </w:p>
    <w:p w14:paraId="291A74EC" w14:textId="77777777" w:rsidR="00E91B99" w:rsidRPr="00FB7858" w:rsidRDefault="00E91B99" w:rsidP="00FB7858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może stosować elektroniczną formę podejmowania uchwał, określając wymogi formalne takiego uzewnętrznienia woli oraz zakres spraw podlegających zatwierdzeniu w drodze głosowania elektronicznego w następujący sposób:</w:t>
      </w:r>
    </w:p>
    <w:p w14:paraId="77045055" w14:textId="77777777" w:rsidR="00E91B99" w:rsidRPr="00FB7858" w:rsidRDefault="00E91B99" w:rsidP="00FB7858">
      <w:pPr>
        <w:pStyle w:val="Akapitzlist"/>
        <w:numPr>
          <w:ilvl w:val="1"/>
          <w:numId w:val="5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Głosowanie elektroniczne zarządzane jest przez przewodniczącego lub działającego w jego zastępstwie wiceprzewodniczącego w sprawach, w których podjęcie decyzji jest uzasadnione bez konieczności odbywania posiedzenia w sposób tradycyjny, zaś zgromadzone dokumenty w sposób jednoznaczny umożliwiają podjęcie decyzji bez konieczności dodatkowych uzupełnień bądź objaśnień.</w:t>
      </w:r>
    </w:p>
    <w:p w14:paraId="7B8ABB78" w14:textId="77777777" w:rsidR="00E91B99" w:rsidRPr="00FB7858" w:rsidRDefault="00E91B99" w:rsidP="00FB7858">
      <w:pPr>
        <w:pStyle w:val="Akapitzlist"/>
        <w:numPr>
          <w:ilvl w:val="1"/>
          <w:numId w:val="5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B7858">
        <w:rPr>
          <w:rFonts w:asciiTheme="minorHAnsi" w:hAnsiTheme="minorHAnsi" w:cstheme="minorHAnsi"/>
          <w:sz w:val="24"/>
          <w:szCs w:val="24"/>
        </w:rPr>
        <w:t>Głosowanie odbywa się za pośrednictwem Internetu z wykorzystaniem poczty elektronicznej lub odpowiedniej aplikacji.</w:t>
      </w:r>
    </w:p>
    <w:p w14:paraId="1446EEB2" w14:textId="5E8ADAE3" w:rsidR="00E91B99" w:rsidRPr="00FB7858" w:rsidRDefault="00F44434" w:rsidP="00FB7858">
      <w:pPr>
        <w:pStyle w:val="Akapitzlist"/>
        <w:numPr>
          <w:ilvl w:val="1"/>
          <w:numId w:val="5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Zarządzający głosowanie </w:t>
      </w:r>
      <w:r w:rsidR="00E91B99"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określa czas </w:t>
      </w: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jego</w:t>
      </w:r>
      <w:r>
        <w:rPr>
          <w:rStyle w:val="Teksttreci"/>
          <w:rFonts w:asciiTheme="minorHAnsi" w:eastAsiaTheme="minorEastAsia" w:hAnsiTheme="minorHAnsi" w:cstheme="minorHAnsi"/>
          <w:b/>
          <w:bCs/>
          <w:color w:val="FF0000"/>
          <w:sz w:val="24"/>
          <w:szCs w:val="24"/>
        </w:rPr>
        <w:t xml:space="preserve"> </w:t>
      </w:r>
      <w:r w:rsidR="00E91B99"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trwania i sposób oddania głosu (mail lub oddanie głosu za pośrednictwem odpowiedniej aplikacji). Po zakończeniu głosowania sporządzany jest protokół z jego przebiegu zaś podjętym uchwałom nadawana jest odpowiednia numeracja.</w:t>
      </w:r>
    </w:p>
    <w:p w14:paraId="527599FE" w14:textId="77777777" w:rsidR="00FB7858" w:rsidRDefault="00FB7858" w:rsidP="00FB7858">
      <w:pPr>
        <w:pStyle w:val="Nagwek1"/>
        <w:spacing w:before="0" w:line="240" w:lineRule="auto"/>
        <w:rPr>
          <w:rStyle w:val="Teksttreci"/>
          <w:rFonts w:asciiTheme="minorHAnsi" w:eastAsia="Calibri" w:hAnsiTheme="minorHAnsi" w:cstheme="minorHAnsi"/>
          <w:sz w:val="24"/>
          <w:szCs w:val="24"/>
        </w:rPr>
      </w:pPr>
    </w:p>
    <w:p w14:paraId="003FDF23" w14:textId="54A17E42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Teksttreci"/>
          <w:rFonts w:asciiTheme="minorHAnsi" w:eastAsia="Calibri" w:hAnsiTheme="minorHAnsi" w:cstheme="minorHAnsi"/>
          <w:sz w:val="24"/>
          <w:szCs w:val="24"/>
        </w:rPr>
        <w:t>§ 13</w:t>
      </w:r>
    </w:p>
    <w:p w14:paraId="2D5FE53B" w14:textId="77777777" w:rsidR="00E91B99" w:rsidRPr="00FB7858" w:rsidRDefault="00E91B99" w:rsidP="00FB7858">
      <w:pPr>
        <w:pStyle w:val="Akapitzlist"/>
        <w:numPr>
          <w:ilvl w:val="0"/>
          <w:numId w:val="10"/>
        </w:numPr>
        <w:spacing w:after="0"/>
        <w:rPr>
          <w:rStyle w:val="Teksttreci"/>
          <w:rFonts w:asciiTheme="minorHAnsi" w:eastAsia="Calibr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Prezydium Zarządu Głównego PTTK przysługuje prawo:</w:t>
      </w:r>
    </w:p>
    <w:p w14:paraId="52E9E605" w14:textId="76E008C4" w:rsidR="00E91B99" w:rsidRPr="0007773E" w:rsidRDefault="00E91B99" w:rsidP="00FB7858">
      <w:pPr>
        <w:pStyle w:val="Akapitzlist"/>
        <w:numPr>
          <w:ilvl w:val="0"/>
          <w:numId w:val="14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7773E">
        <w:rPr>
          <w:rFonts w:asciiTheme="minorHAnsi" w:hAnsiTheme="minorHAnsi" w:cstheme="minorHAnsi"/>
          <w:sz w:val="24"/>
          <w:szCs w:val="24"/>
        </w:rPr>
        <w:t xml:space="preserve">zawieszania uchwał Komisji, jeżeli są sprzeczne z przepisami prawa, Statutem PTTK, Regulaminem </w:t>
      </w:r>
      <w:bookmarkStart w:id="7" w:name="_Hlk154517889"/>
      <w:r w:rsidR="00510416" w:rsidRPr="0007773E">
        <w:rPr>
          <w:rFonts w:asciiTheme="minorHAnsi" w:hAnsiTheme="minorHAnsi" w:cstheme="minorHAnsi"/>
          <w:sz w:val="24"/>
          <w:szCs w:val="24"/>
        </w:rPr>
        <w:t xml:space="preserve">Komisji </w:t>
      </w:r>
      <w:bookmarkEnd w:id="7"/>
      <w:r w:rsidRPr="0007773E">
        <w:rPr>
          <w:rFonts w:asciiTheme="minorHAnsi" w:hAnsiTheme="minorHAnsi" w:cstheme="minorHAnsi"/>
          <w:sz w:val="24"/>
          <w:szCs w:val="24"/>
        </w:rPr>
        <w:t>lub interesami PTTK;</w:t>
      </w:r>
    </w:p>
    <w:p w14:paraId="722A3105" w14:textId="3A7A5148" w:rsidR="00E91B99" w:rsidRPr="0007773E" w:rsidRDefault="00E91B99" w:rsidP="00FB7858">
      <w:pPr>
        <w:pStyle w:val="Akapitzlist"/>
        <w:numPr>
          <w:ilvl w:val="0"/>
          <w:numId w:val="14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7773E">
        <w:rPr>
          <w:rFonts w:asciiTheme="minorHAnsi" w:hAnsiTheme="minorHAnsi" w:cstheme="minorHAnsi"/>
          <w:sz w:val="24"/>
          <w:szCs w:val="24"/>
        </w:rPr>
        <w:t xml:space="preserve">zawieszania członka Komisji, jeżeli jego działalność jest sprzeczna z przepisami prawa, Statutem PTTK, Regulaminem </w:t>
      </w:r>
      <w:r w:rsidR="00510416" w:rsidRPr="0007773E">
        <w:rPr>
          <w:rFonts w:asciiTheme="minorHAnsi" w:hAnsiTheme="minorHAnsi" w:cstheme="minorHAnsi"/>
          <w:sz w:val="24"/>
          <w:szCs w:val="24"/>
        </w:rPr>
        <w:t xml:space="preserve">Komisji </w:t>
      </w:r>
      <w:r w:rsidRPr="0007773E">
        <w:rPr>
          <w:rFonts w:asciiTheme="minorHAnsi" w:hAnsiTheme="minorHAnsi" w:cstheme="minorHAnsi"/>
          <w:sz w:val="24"/>
          <w:szCs w:val="24"/>
        </w:rPr>
        <w:t>lub interesami PTTK;</w:t>
      </w:r>
    </w:p>
    <w:p w14:paraId="57A77989" w14:textId="593EF684" w:rsidR="00E91B99" w:rsidRPr="0007773E" w:rsidRDefault="00E91B99" w:rsidP="00FB7858">
      <w:pPr>
        <w:pStyle w:val="Akapitzlist"/>
        <w:numPr>
          <w:ilvl w:val="0"/>
          <w:numId w:val="14"/>
        </w:numPr>
        <w:spacing w:after="0"/>
        <w:ind w:left="714" w:hanging="357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07773E">
        <w:rPr>
          <w:rFonts w:asciiTheme="minorHAnsi" w:hAnsiTheme="minorHAnsi" w:cstheme="minorHAnsi"/>
          <w:sz w:val="24"/>
          <w:szCs w:val="24"/>
        </w:rPr>
        <w:t>zawieszania</w:t>
      </w: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Komisji, jeżeli jej działalność jest sprzeczna z przepisami prawa, Statutem PTTK, Regulaminem</w:t>
      </w:r>
      <w:r w:rsidR="00510416" w:rsidRPr="0007773E">
        <w:rPr>
          <w:rFonts w:asciiTheme="minorHAnsi" w:hAnsiTheme="minorHAnsi" w:cstheme="minorHAnsi"/>
          <w:sz w:val="24"/>
          <w:szCs w:val="24"/>
        </w:rPr>
        <w:t xml:space="preserve"> Komisji</w:t>
      </w:r>
      <w:r w:rsidR="00510416"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lub interesami PTTK.</w:t>
      </w:r>
    </w:p>
    <w:p w14:paraId="4EEE6C30" w14:textId="77777777" w:rsidR="00E91B99" w:rsidRPr="0007773E" w:rsidRDefault="00E91B99" w:rsidP="00FB7858">
      <w:pPr>
        <w:pStyle w:val="Akapitzlist"/>
        <w:numPr>
          <w:ilvl w:val="0"/>
          <w:numId w:val="10"/>
        </w:numPr>
        <w:spacing w:after="0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Zarządowi Głównemu PTTK przysługuje prawo:</w:t>
      </w:r>
    </w:p>
    <w:p w14:paraId="2BB94B19" w14:textId="49EB9661" w:rsidR="00E91B99" w:rsidRPr="0007773E" w:rsidRDefault="00E91B99" w:rsidP="00FB7858">
      <w:pPr>
        <w:pStyle w:val="Akapitzlist"/>
        <w:numPr>
          <w:ilvl w:val="0"/>
          <w:numId w:val="15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7773E">
        <w:rPr>
          <w:rFonts w:asciiTheme="minorHAnsi" w:hAnsiTheme="minorHAnsi" w:cstheme="minorHAnsi"/>
          <w:sz w:val="24"/>
          <w:szCs w:val="24"/>
        </w:rPr>
        <w:t xml:space="preserve">uchylenia uchwał Komisji, jeżeli są sprzeczne z przepisami prawa, Statutem PTTK, Regulaminem </w:t>
      </w:r>
      <w:r w:rsidR="00510416" w:rsidRPr="0007773E">
        <w:rPr>
          <w:rFonts w:asciiTheme="minorHAnsi" w:hAnsiTheme="minorHAnsi" w:cstheme="minorHAnsi"/>
          <w:sz w:val="24"/>
          <w:szCs w:val="24"/>
        </w:rPr>
        <w:t xml:space="preserve">Komisji </w:t>
      </w:r>
      <w:r w:rsidRPr="0007773E">
        <w:rPr>
          <w:rFonts w:asciiTheme="minorHAnsi" w:hAnsiTheme="minorHAnsi" w:cstheme="minorHAnsi"/>
          <w:sz w:val="24"/>
          <w:szCs w:val="24"/>
        </w:rPr>
        <w:t>lub interesami PTTK;</w:t>
      </w:r>
    </w:p>
    <w:p w14:paraId="7E82D9DE" w14:textId="10AEE1BA" w:rsidR="00E91B99" w:rsidRPr="0007773E" w:rsidRDefault="00E91B99" w:rsidP="00FB7858">
      <w:pPr>
        <w:pStyle w:val="Akapitzlist"/>
        <w:numPr>
          <w:ilvl w:val="0"/>
          <w:numId w:val="15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7773E">
        <w:rPr>
          <w:rFonts w:asciiTheme="minorHAnsi" w:hAnsiTheme="minorHAnsi" w:cstheme="minorHAnsi"/>
          <w:sz w:val="24"/>
          <w:szCs w:val="24"/>
        </w:rPr>
        <w:t xml:space="preserve">odwołania członka Komisji, jeżeli jego działalność jest sprzeczna z przepisami prawa, Statutem PTTK, Regulaminem </w:t>
      </w:r>
      <w:r w:rsidR="00510416" w:rsidRPr="0007773E">
        <w:rPr>
          <w:rFonts w:asciiTheme="minorHAnsi" w:hAnsiTheme="minorHAnsi" w:cstheme="minorHAnsi"/>
          <w:sz w:val="24"/>
          <w:szCs w:val="24"/>
        </w:rPr>
        <w:t xml:space="preserve">Komisji </w:t>
      </w:r>
      <w:r w:rsidRPr="0007773E">
        <w:rPr>
          <w:rFonts w:asciiTheme="minorHAnsi" w:hAnsiTheme="minorHAnsi" w:cstheme="minorHAnsi"/>
          <w:sz w:val="24"/>
          <w:szCs w:val="24"/>
        </w:rPr>
        <w:t>lub interesami PTTK;</w:t>
      </w:r>
    </w:p>
    <w:p w14:paraId="7CED070A" w14:textId="77777777" w:rsidR="00E91B99" w:rsidRPr="0007773E" w:rsidRDefault="00E91B99" w:rsidP="00FB7858">
      <w:pPr>
        <w:pStyle w:val="Akapitzlist"/>
        <w:numPr>
          <w:ilvl w:val="0"/>
          <w:numId w:val="15"/>
        </w:numPr>
        <w:spacing w:after="0"/>
        <w:ind w:left="714" w:hanging="357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07773E">
        <w:rPr>
          <w:rFonts w:asciiTheme="minorHAnsi" w:hAnsiTheme="minorHAnsi" w:cstheme="minorHAnsi"/>
          <w:sz w:val="24"/>
          <w:szCs w:val="24"/>
        </w:rPr>
        <w:t>odwołania Komisji, jeżeli jej działalność jest sprzeczna z przepisami prawa, Statutem PTTK, Regulaminem lub interesami PTTK. W przypadku odwołania Komisji, Zarząd Główny PTTK zwołuje w ciągu trzech</w:t>
      </w: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miesięcy Konferencję w celu wyboru nowej </w:t>
      </w:r>
      <w:r w:rsidRPr="0007773E">
        <w:rPr>
          <w:rFonts w:asciiTheme="minorHAnsi" w:hAnsiTheme="minorHAnsi" w:cstheme="minorHAnsi"/>
          <w:sz w:val="24"/>
          <w:szCs w:val="24"/>
        </w:rPr>
        <w:t>Komisji</w:t>
      </w:r>
      <w:r w:rsidRPr="0007773E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14:paraId="23E5EC4A" w14:textId="77777777" w:rsidR="00FB7858" w:rsidRDefault="00FB7858" w:rsidP="00FB7858">
      <w:pPr>
        <w:pStyle w:val="Nagwek1"/>
        <w:spacing w:before="0" w:line="240" w:lineRule="auto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2C341254" w14:textId="26263C59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14</w:t>
      </w:r>
    </w:p>
    <w:p w14:paraId="64AFF88E" w14:textId="77777777" w:rsidR="00E91B99" w:rsidRPr="00FB7858" w:rsidRDefault="00E91B99" w:rsidP="00FB78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działa w oparciu o środki finansowe budżetu PTTK, za pośrednictwem Zarządu Głównego PTTK może korzystać ze środków przyznanych na zadania zlecone, darowizn, środków UE i innych.</w:t>
      </w:r>
    </w:p>
    <w:p w14:paraId="7F185699" w14:textId="77777777" w:rsidR="00FB7858" w:rsidRDefault="00FB7858" w:rsidP="00FB7858">
      <w:pPr>
        <w:pStyle w:val="Nagwek1"/>
        <w:spacing w:before="0" w:line="240" w:lineRule="auto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4DDF49D5" w14:textId="46A69113" w:rsidR="00E91B99" w:rsidRPr="00FB7858" w:rsidRDefault="00E91B99" w:rsidP="00FB7858">
      <w:pPr>
        <w:pStyle w:val="Nagwek1"/>
        <w:spacing w:before="0" w:line="240" w:lineRule="auto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15</w:t>
      </w:r>
    </w:p>
    <w:p w14:paraId="0A205FF3" w14:textId="77777777" w:rsidR="00E91B99" w:rsidRPr="00FB7858" w:rsidRDefault="00E91B99" w:rsidP="00FB7858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dstrike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używa podłużnej pieczęci firmowej o treści: Polskie Towarzystwo Turystyczno- Krajoznawcze/Zarząd Główny/Komisja Krajoznawcza oraz dane adresowe siedziby Komisji, w tym adres poczty elektronicznej.</w:t>
      </w:r>
    </w:p>
    <w:p w14:paraId="170DB284" w14:textId="77777777" w:rsidR="00E91B99" w:rsidRPr="00FB7858" w:rsidRDefault="00E91B99" w:rsidP="00FB7858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Komisja może ustanowić i używać swoją odznakę organizacyjną, która przysługuje jej członkom.</w:t>
      </w:r>
    </w:p>
    <w:p w14:paraId="03861F24" w14:textId="77777777" w:rsidR="00E91B99" w:rsidRPr="00FB7858" w:rsidRDefault="00E91B99" w:rsidP="00FB7858">
      <w:pPr>
        <w:pStyle w:val="Nagwek1"/>
        <w:spacing w:before="0" w:line="240" w:lineRule="auto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4B65497F" w14:textId="77777777" w:rsidR="00E91B99" w:rsidRPr="00FB7858" w:rsidRDefault="00E91B99" w:rsidP="00FB7858">
      <w:pPr>
        <w:pStyle w:val="Nagwek1"/>
        <w:spacing w:before="0" w:line="240" w:lineRule="auto"/>
        <w:rPr>
          <w:rStyle w:val="Teksttreci2"/>
          <w:rFonts w:asciiTheme="minorHAnsi" w:eastAsia="Calibri" w:hAnsiTheme="minorHAnsi" w:cstheme="minorHAnsi"/>
          <w:b/>
          <w:bCs w:val="0"/>
          <w:sz w:val="24"/>
          <w:szCs w:val="24"/>
        </w:rPr>
      </w:pPr>
    </w:p>
    <w:p w14:paraId="07C1676E" w14:textId="77777777" w:rsidR="00E91B99" w:rsidRPr="00FB7858" w:rsidRDefault="00E91B99" w:rsidP="00FB7858">
      <w:pPr>
        <w:pStyle w:val="Nagwek1"/>
        <w:spacing w:before="0" w:line="240" w:lineRule="auto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t>Rozdział V</w:t>
      </w:r>
      <w:r w:rsidRPr="00FB7858">
        <w:rPr>
          <w:rStyle w:val="Teksttreci2"/>
          <w:rFonts w:asciiTheme="minorHAnsi" w:eastAsia="Calibri" w:hAnsiTheme="minorHAnsi" w:cstheme="minorHAnsi"/>
          <w:sz w:val="24"/>
          <w:szCs w:val="24"/>
        </w:rPr>
        <w:br/>
        <w:t>Postanowienia końcowe</w:t>
      </w:r>
    </w:p>
    <w:p w14:paraId="5BBB5D61" w14:textId="77777777" w:rsidR="00FB7858" w:rsidRDefault="00FB7858" w:rsidP="00FB7858">
      <w:pPr>
        <w:pStyle w:val="Nagwek1"/>
        <w:spacing w:before="0" w:line="240" w:lineRule="auto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21A995B8" w14:textId="4C330108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16</w:t>
      </w:r>
    </w:p>
    <w:p w14:paraId="01E17483" w14:textId="77777777" w:rsidR="00E91B99" w:rsidRPr="00FB7858" w:rsidRDefault="00E91B99" w:rsidP="00FB7858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Interpretacja Regulaminu należy do Zarządu Głównego PTTK.</w:t>
      </w:r>
    </w:p>
    <w:p w14:paraId="413F6FB3" w14:textId="388217DC" w:rsidR="00E91B99" w:rsidRPr="00FB7858" w:rsidRDefault="00E91B99" w:rsidP="00FB7858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W sprawach nieuregulowanych </w:t>
      </w:r>
      <w:r w:rsidRPr="0007773E">
        <w:rPr>
          <w:rStyle w:val="Teksttreci"/>
          <w:rFonts w:asciiTheme="minorHAnsi" w:eastAsiaTheme="minorEastAsia" w:hAnsiTheme="minorHAnsi" w:cstheme="minorHAnsi"/>
          <w:sz w:val="24"/>
          <w:szCs w:val="24"/>
        </w:rPr>
        <w:t>w</w:t>
      </w:r>
      <w:r w:rsidR="0007773E" w:rsidRPr="0007773E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Regulaminie zastosowanie mają przepisy prawa, Statutu PTTK i Regulaminu Zarządu Głównego PTTK.</w:t>
      </w:r>
    </w:p>
    <w:p w14:paraId="462B56E1" w14:textId="77777777" w:rsidR="00FB7858" w:rsidRDefault="00FB7858" w:rsidP="00FB7858">
      <w:pPr>
        <w:pStyle w:val="Nagwek1"/>
        <w:spacing w:before="0" w:line="240" w:lineRule="auto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39AD0304" w14:textId="3DFA4B66" w:rsidR="00E91B99" w:rsidRPr="00FB7858" w:rsidRDefault="00E91B99" w:rsidP="00FB7858">
      <w:pPr>
        <w:pStyle w:val="Nagwek1"/>
        <w:spacing w:before="0" w:line="240" w:lineRule="auto"/>
        <w:rPr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17</w:t>
      </w:r>
    </w:p>
    <w:p w14:paraId="3D598AE4" w14:textId="77777777" w:rsidR="00E91B99" w:rsidRPr="00FB7858" w:rsidRDefault="00E91B99" w:rsidP="00FB7858">
      <w:pPr>
        <w:pStyle w:val="Akapitzlist"/>
        <w:numPr>
          <w:ilvl w:val="0"/>
          <w:numId w:val="13"/>
        </w:numPr>
        <w:spacing w:after="0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Regulamin </w:t>
      </w:r>
      <w:r w:rsidRPr="00FB7858">
        <w:rPr>
          <w:rStyle w:val="Teksttreci"/>
          <w:rFonts w:asciiTheme="minorHAnsi" w:eastAsiaTheme="minorEastAsia" w:hAnsiTheme="minorHAnsi" w:cstheme="minorHAnsi"/>
          <w:bCs/>
          <w:sz w:val="24"/>
          <w:szCs w:val="24"/>
        </w:rPr>
        <w:t>uchwalony został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 przez Komisję w dniu 14 października 2023 roku.</w:t>
      </w:r>
    </w:p>
    <w:p w14:paraId="2F322FE2" w14:textId="507A26A1" w:rsidR="00E91B99" w:rsidRPr="00FB7858" w:rsidRDefault="00E91B99" w:rsidP="00FB7858">
      <w:pPr>
        <w:pStyle w:val="Akapitzlist"/>
        <w:numPr>
          <w:ilvl w:val="0"/>
          <w:numId w:val="13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Regulamin, zatwierdzony uchwałą Zarządu Głównego PTTK nr </w:t>
      </w:r>
      <w:r w:rsidR="00656071">
        <w:rPr>
          <w:rStyle w:val="Teksttreci"/>
          <w:rFonts w:asciiTheme="minorHAnsi" w:eastAsiaTheme="minorEastAsia" w:hAnsiTheme="minorHAnsi" w:cstheme="minorHAnsi"/>
          <w:sz w:val="24"/>
          <w:szCs w:val="24"/>
        </w:rPr>
        <w:t>89/XX/2024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 z</w:t>
      </w:r>
      <w:r w:rsidR="0007773E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 dnia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656071">
        <w:rPr>
          <w:rStyle w:val="Teksttreci"/>
          <w:rFonts w:asciiTheme="minorHAnsi" w:eastAsiaTheme="minorEastAsia" w:hAnsiTheme="minorHAnsi" w:cstheme="minorHAnsi"/>
          <w:sz w:val="24"/>
          <w:szCs w:val="24"/>
        </w:rPr>
        <w:t>2 stycznia 2024</w:t>
      </w:r>
      <w:r w:rsidRPr="00FB7858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 roku, obowiązuje od dnia </w:t>
      </w:r>
      <w:r w:rsidRPr="00FB7858">
        <w:rPr>
          <w:rStyle w:val="Teksttreci"/>
          <w:rFonts w:asciiTheme="minorHAnsi" w:eastAsiaTheme="minorEastAsia" w:hAnsiTheme="minorHAnsi" w:cstheme="minorHAnsi"/>
          <w:bCs/>
          <w:sz w:val="24"/>
          <w:szCs w:val="24"/>
        </w:rPr>
        <w:t>jej podjęcia.</w:t>
      </w:r>
    </w:p>
    <w:p w14:paraId="3363CFE3" w14:textId="77777777" w:rsidR="00AF4F87" w:rsidRPr="00FB7858" w:rsidRDefault="00AF4F87" w:rsidP="00FB785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AF4F87" w:rsidRPr="00FB7858" w:rsidSect="00AF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430"/>
    <w:multiLevelType w:val="hybridMultilevel"/>
    <w:tmpl w:val="EA10E66E"/>
    <w:lvl w:ilvl="0" w:tplc="8F8421F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E4313"/>
    <w:multiLevelType w:val="hybridMultilevel"/>
    <w:tmpl w:val="D6B44E7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EF92066"/>
    <w:multiLevelType w:val="hybridMultilevel"/>
    <w:tmpl w:val="F1888E56"/>
    <w:lvl w:ilvl="0" w:tplc="E75EC89E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8245B"/>
    <w:multiLevelType w:val="hybridMultilevel"/>
    <w:tmpl w:val="C1C090AE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641637D"/>
    <w:multiLevelType w:val="hybridMultilevel"/>
    <w:tmpl w:val="9B9E9BF4"/>
    <w:lvl w:ilvl="0" w:tplc="C2D295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70C3"/>
    <w:multiLevelType w:val="hybridMultilevel"/>
    <w:tmpl w:val="A312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1201"/>
    <w:multiLevelType w:val="hybridMultilevel"/>
    <w:tmpl w:val="15C4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310A9"/>
    <w:multiLevelType w:val="hybridMultilevel"/>
    <w:tmpl w:val="19B6BF76"/>
    <w:lvl w:ilvl="0" w:tplc="C3CC20E8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33953"/>
    <w:multiLevelType w:val="hybridMultilevel"/>
    <w:tmpl w:val="C0AC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A2095"/>
    <w:multiLevelType w:val="hybridMultilevel"/>
    <w:tmpl w:val="0A5CEB00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2790A52"/>
    <w:multiLevelType w:val="hybridMultilevel"/>
    <w:tmpl w:val="41421528"/>
    <w:lvl w:ilvl="0" w:tplc="44305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2D9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46D63590"/>
    <w:multiLevelType w:val="hybridMultilevel"/>
    <w:tmpl w:val="1068E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1188E"/>
    <w:multiLevelType w:val="hybridMultilevel"/>
    <w:tmpl w:val="81BEC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408C4"/>
    <w:multiLevelType w:val="hybridMultilevel"/>
    <w:tmpl w:val="C0AC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2707B"/>
    <w:multiLevelType w:val="hybridMultilevel"/>
    <w:tmpl w:val="D9AC4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A7DD1"/>
    <w:multiLevelType w:val="hybridMultilevel"/>
    <w:tmpl w:val="15C4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005B1"/>
    <w:multiLevelType w:val="hybridMultilevel"/>
    <w:tmpl w:val="F4CCF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D3ED7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107DC4"/>
    <w:multiLevelType w:val="hybridMultilevel"/>
    <w:tmpl w:val="16A29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43888">
    <w:abstractNumId w:val="5"/>
  </w:num>
  <w:num w:numId="2" w16cid:durableId="705446853">
    <w:abstractNumId w:val="2"/>
  </w:num>
  <w:num w:numId="3" w16cid:durableId="1379814057">
    <w:abstractNumId w:val="3"/>
  </w:num>
  <w:num w:numId="4" w16cid:durableId="802700169">
    <w:abstractNumId w:val="15"/>
  </w:num>
  <w:num w:numId="5" w16cid:durableId="1309940061">
    <w:abstractNumId w:val="9"/>
  </w:num>
  <w:num w:numId="6" w16cid:durableId="1317145342">
    <w:abstractNumId w:val="1"/>
  </w:num>
  <w:num w:numId="7" w16cid:durableId="1094134212">
    <w:abstractNumId w:val="17"/>
  </w:num>
  <w:num w:numId="8" w16cid:durableId="1044333247">
    <w:abstractNumId w:val="19"/>
  </w:num>
  <w:num w:numId="9" w16cid:durableId="921256491">
    <w:abstractNumId w:val="6"/>
  </w:num>
  <w:num w:numId="10" w16cid:durableId="2017146145">
    <w:abstractNumId w:val="13"/>
  </w:num>
  <w:num w:numId="11" w16cid:durableId="1848515952">
    <w:abstractNumId w:val="0"/>
  </w:num>
  <w:num w:numId="12" w16cid:durableId="1148937987">
    <w:abstractNumId w:val="16"/>
  </w:num>
  <w:num w:numId="13" w16cid:durableId="739790457">
    <w:abstractNumId w:val="14"/>
  </w:num>
  <w:num w:numId="14" w16cid:durableId="342436073">
    <w:abstractNumId w:val="18"/>
  </w:num>
  <w:num w:numId="15" w16cid:durableId="4403407">
    <w:abstractNumId w:val="11"/>
  </w:num>
  <w:num w:numId="16" w16cid:durableId="806895417">
    <w:abstractNumId w:val="10"/>
  </w:num>
  <w:num w:numId="17" w16cid:durableId="883952326">
    <w:abstractNumId w:val="8"/>
  </w:num>
  <w:num w:numId="18" w16cid:durableId="1832595837">
    <w:abstractNumId w:val="4"/>
  </w:num>
  <w:num w:numId="19" w16cid:durableId="1665426960">
    <w:abstractNumId w:val="12"/>
  </w:num>
  <w:num w:numId="20" w16cid:durableId="1149009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0C"/>
    <w:rsid w:val="0007773E"/>
    <w:rsid w:val="00235C74"/>
    <w:rsid w:val="00510416"/>
    <w:rsid w:val="00643340"/>
    <w:rsid w:val="00656071"/>
    <w:rsid w:val="007A310C"/>
    <w:rsid w:val="00AB78FA"/>
    <w:rsid w:val="00AF4F87"/>
    <w:rsid w:val="00BE226E"/>
    <w:rsid w:val="00C11D8D"/>
    <w:rsid w:val="00C3625A"/>
    <w:rsid w:val="00CE210A"/>
    <w:rsid w:val="00D175C6"/>
    <w:rsid w:val="00DD5421"/>
    <w:rsid w:val="00E703AC"/>
    <w:rsid w:val="00E91B99"/>
    <w:rsid w:val="00F372FD"/>
    <w:rsid w:val="00F44434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27B1"/>
  <w15:docId w15:val="{3972C67E-15C9-4070-B50C-4EF2A95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10C"/>
    <w:pPr>
      <w:suppressAutoHyphens/>
      <w:spacing w:after="120" w:line="240" w:lineRule="auto"/>
      <w:jc w:val="both"/>
    </w:pPr>
    <w:rPr>
      <w:rFonts w:ascii="Calibri" w:eastAsia="Calibri" w:hAnsi="Calibri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310C"/>
    <w:pPr>
      <w:keepNext/>
      <w:tabs>
        <w:tab w:val="num" w:pos="0"/>
      </w:tabs>
      <w:spacing w:before="120" w:after="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10C"/>
    <w:rPr>
      <w:rFonts w:eastAsia="Calibri" w:cstheme="minorHAnsi"/>
      <w:b/>
      <w:kern w:val="1"/>
      <w:szCs w:val="20"/>
      <w:lang w:val="fi-FI" w:eastAsia="ar-SA"/>
    </w:rPr>
  </w:style>
  <w:style w:type="character" w:customStyle="1" w:styleId="Teksttreci2">
    <w:name w:val="Tekst treści (2)"/>
    <w:basedOn w:val="Domylnaczcionkaakapitu"/>
    <w:rsid w:val="007A3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7A310C"/>
    <w:pPr>
      <w:suppressAutoHyphens w:val="0"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A310C"/>
    <w:rPr>
      <w:rFonts w:ascii="Calibri" w:eastAsia="Times New Roman" w:hAnsi="Calibri" w:cs="Times New Roman"/>
      <w:b/>
      <w:bCs/>
      <w:kern w:val="28"/>
      <w:sz w:val="24"/>
      <w:szCs w:val="32"/>
      <w:lang w:eastAsia="pl-PL"/>
    </w:rPr>
  </w:style>
  <w:style w:type="paragraph" w:customStyle="1" w:styleId="Default">
    <w:name w:val="Default"/>
    <w:rsid w:val="007A3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1B99"/>
    <w:pPr>
      <w:numPr>
        <w:numId w:val="2"/>
      </w:numPr>
    </w:pPr>
    <w:rPr>
      <w:rFonts w:cs="Arial"/>
    </w:rPr>
  </w:style>
  <w:style w:type="character" w:customStyle="1" w:styleId="Nagwek10">
    <w:name w:val="Nagłówek #1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2">
    <w:name w:val="Nagłówek #1 (2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/>
    </w:rPr>
  </w:style>
  <w:style w:type="character" w:customStyle="1" w:styleId="Nagwek13">
    <w:name w:val="Nagłówek #1 (3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4">
    <w:name w:val="Nagłówek #1 (4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22">
    <w:name w:val="Nagłówek #2 (2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3">
    <w:name w:val="Nagłówek #2 (3)"/>
    <w:basedOn w:val="Domylnaczcionkaakapitu"/>
    <w:rsid w:val="00E9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Karol Chojnacki</cp:lastModifiedBy>
  <cp:revision>2</cp:revision>
  <dcterms:created xsi:type="dcterms:W3CDTF">2024-01-05T12:06:00Z</dcterms:created>
  <dcterms:modified xsi:type="dcterms:W3CDTF">2024-01-05T12:06:00Z</dcterms:modified>
</cp:coreProperties>
</file>